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8042d1_6k.htm"/>
      <w:bookmarkStart w:id="1" w:name="kstm2628042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JinkoSolar Holding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Yingbin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Shangrao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Jiangxi Province, 334100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28" w:type="dxa"/>
          <w:right w:w="0" w:type="dxa"/>
        </w:tblCellMar>
      </w:tblPr>
      <w:tblGrid>
        <w:gridCol w:w="725"/>
        <w:gridCol w:w="60"/>
        <w:gridCol w:w="21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r>
    </w:tbl>
    <w:tbl>
      <w:tblPr>
        <w:tblW w:w="6910" w:type="dxa"/>
        <w:jc w:val="left"/>
        <w:tblInd w:w="0" w:type="dxa"/>
        <w:tblLayout w:type="fixed"/>
        <w:tblCellMar>
          <w:top w:w="0" w:type="dxa"/>
          <w:left w:w="0" w:type="dxa"/>
          <w:bottom w:w="0" w:type="dxa"/>
          <w:right w:w="0" w:type="dxa"/>
        </w:tblCellMar>
      </w:tblPr>
      <w:tblGrid>
        <w:gridCol w:w="440"/>
        <w:gridCol w:w="6470"/>
      </w:tblGrid>
      <w:tr>
        <w:trPr/>
        <w:tc>
          <w:tcPr>
            <w:tcW w:w="440" w:type="dxa"/>
            <w:tcBorders/>
            <w:vAlign w:val="center"/>
          </w:tcPr>
          <w:p>
            <w:pPr>
              <w:pStyle w:val="TableContents"/>
              <w:bidi w:val="0"/>
              <w:spacing w:before="0" w:after="283"/>
              <w:jc w:val="left"/>
              <w:rPr/>
            </w:pPr>
            <w:hyperlink w:anchor="tm2628042d1_ex99-1.htm">
              <w:r>
                <w:rPr>
                  <w:rStyle w:val="InternetLink"/>
                  <w:rFonts w:ascii="Times New Roman;Times;Serif" w:hAnsi="Times New Roman;Times;Serif"/>
                  <w:sz w:val="20"/>
                </w:rPr>
                <w:t xml:space="preserve">99.1 </w:t>
              </w:r>
            </w:hyperlink>
          </w:p>
        </w:tc>
        <w:tc>
          <w:tcPr>
            <w:tcW w:w="6470" w:type="dxa"/>
            <w:tcBorders/>
            <w:vAlign w:val="center"/>
          </w:tcPr>
          <w:p>
            <w:pPr>
              <w:pStyle w:val="TableContents"/>
              <w:bidi w:val="0"/>
              <w:spacing w:before="0" w:after="283"/>
              <w:jc w:val="left"/>
              <w:rPr/>
            </w:pPr>
            <w:hyperlink w:anchor="tm2628042d1_ex99-1.htm">
              <w:r>
                <w:rPr>
                  <w:rStyle w:val="InternetLink"/>
                  <w:rFonts w:ascii="Times New Roman;Times;Serif" w:hAnsi="Times New Roman;Times;Serif"/>
                  <w:sz w:val="20"/>
                </w:rPr>
                <w:t>Press Release - JinkoSolar Announces Results of 2026 Annual General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JinkoSolar Holding Co., Ltd.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Mengmeng (Pan)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Mengmeng (Pan)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2" w:name="tm2628042d1_ex99-1.htm"/>
      <w:bookmarkStart w:id="3" w:name="kstm2628042d1_ex991"/>
      <w:bookmarkEnd w:id="2"/>
      <w:bookmarkEnd w:id="3"/>
      <w:r>
        <w:rPr/>
        <w:t> </w:t>
      </w:r>
      <w:r>
        <w:br w:type="page"/>
      </w:r>
    </w:p>
    <w:p>
      <w:pPr>
        <w:pStyle w:val="TextBody"/>
        <w:bidi w:val="0"/>
        <w:spacing w:before="0" w:after="0"/>
        <w:ind w:left="0" w:right="0" w:hanging="0"/>
        <w:jc w:val="right"/>
        <w:rPr>
          <w:b/>
          <w:sz w:val="20"/>
        </w:rPr>
      </w:pPr>
      <w:r>
        <w:rPr>
          <w:b/>
          <w:sz w:val="20"/>
        </w:rPr>
        <w:t>Exhibit 99.1</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Announces Results of 2026 Annual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SHANGRAO, China, Oct. 21, 2026 /PRNewswire/ -- JinkoSolar Holding Co., Ltd. ("JinkoSolar" or the "Company") (NYSE: JKS), today announced that all shareholders resolutions proposed at the Company’s 2026 annual general meeting held today were duly passed.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the Company’s shareholders passed the following ordinary resolutions approving:</w:t>
      </w:r>
    </w:p>
    <w:p>
      <w:pPr>
        <w:pStyle w:val="TextBody"/>
        <w:bidi w:val="0"/>
        <w:spacing w:before="0" w:after="0"/>
        <w:ind w:left="0" w:right="0" w:hanging="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6275" w:type="dxa"/>
            <w:tcBorders/>
            <w:vAlign w:val="center"/>
          </w:tcPr>
          <w:p>
            <w:pPr>
              <w:pStyle w:val="TableContents"/>
              <w:bidi w:val="0"/>
              <w:spacing w:before="0" w:after="283"/>
              <w:jc w:val="left"/>
              <w:rPr>
                <w:sz w:val="20"/>
              </w:rPr>
            </w:pPr>
            <w:r>
              <w:rPr>
                <w:sz w:val="20"/>
              </w:rPr>
              <w:t>The re-election of Mr. Gang Chu as an independent director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7010" w:type="dxa"/>
            <w:tcBorders/>
            <w:vAlign w:val="center"/>
          </w:tcPr>
          <w:p>
            <w:pPr>
              <w:pStyle w:val="TableContents"/>
              <w:bidi w:val="0"/>
              <w:spacing w:before="0" w:after="283"/>
              <w:jc w:val="left"/>
              <w:rPr>
                <w:sz w:val="20"/>
              </w:rPr>
            </w:pPr>
            <w:r>
              <w:rPr>
                <w:sz w:val="20"/>
              </w:rPr>
              <w:t>The re-election of Mr. Steven Markscheid as an independent director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20"/>
              </w:rPr>
            </w:pPr>
            <w:r>
              <w:rPr>
                <w:sz w:val="20"/>
              </w:rPr>
              <w:t>3.</w:t>
            </w:r>
          </w:p>
        </w:tc>
        <w:tc>
          <w:tcPr>
            <w:tcW w:w="10002" w:type="dxa"/>
            <w:tcBorders/>
            <w:vAlign w:val="center"/>
          </w:tcPr>
          <w:p>
            <w:pPr>
              <w:pStyle w:val="TableContents"/>
              <w:bidi w:val="0"/>
              <w:spacing w:before="0" w:after="283"/>
              <w:jc w:val="both"/>
              <w:rPr>
                <w:sz w:val="20"/>
              </w:rPr>
            </w:pPr>
            <w:r>
              <w:rPr>
                <w:sz w:val="20"/>
              </w:rPr>
              <w:t>The ratification of the appointment of PricewaterhouseCoopers Zhong Tian LLP as auditors of the Company for the fiscal year of 2026;</w:t>
            </w:r>
          </w:p>
        </w:tc>
      </w:tr>
    </w:tbl>
    <w:p>
      <w:pPr>
        <w:pStyle w:val="TextBody"/>
        <w:bidi w:val="0"/>
        <w:spacing w:before="0" w:after="0"/>
        <w:ind w:left="0" w:right="0" w:hanging="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4.</w:t>
            </w:r>
          </w:p>
        </w:tc>
        <w:tc>
          <w:tcPr>
            <w:tcW w:w="9560" w:type="dxa"/>
            <w:tcBorders/>
            <w:vAlign w:val="center"/>
          </w:tcPr>
          <w:p>
            <w:pPr>
              <w:pStyle w:val="TableContents"/>
              <w:bidi w:val="0"/>
              <w:spacing w:before="0" w:after="283"/>
              <w:jc w:val="both"/>
              <w:rPr>
                <w:sz w:val="20"/>
              </w:rPr>
            </w:pPr>
            <w:r>
              <w:rPr>
                <w:sz w:val="20"/>
              </w:rPr>
              <w:t>The authorization of the directors of the Company to determine the remuneration of the auditors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5.</w:t>
            </w:r>
          </w:p>
        </w:tc>
        <w:tc>
          <w:tcPr>
            <w:tcW w:w="10021" w:type="dxa"/>
            <w:tcBorders/>
            <w:vAlign w:val="center"/>
          </w:tcPr>
          <w:p>
            <w:pPr>
              <w:pStyle w:val="TableContents"/>
              <w:bidi w:val="0"/>
              <w:spacing w:before="0" w:after="283"/>
              <w:jc w:val="both"/>
              <w:rPr>
                <w:sz w:val="20"/>
              </w:rPr>
            </w:pPr>
            <w:r>
              <w:rPr>
                <w:sz w:val="20"/>
              </w:rPr>
              <w:t>The authorization of each of the directors of the Company to take any and all action that might be necessary to effect the foregoing resolutions 1 to 4 and resolutions 6 to 7 set out below as such director, in his or her absolute discretion, thinks 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also passed the following special resolutions approving:</w:t>
      </w:r>
    </w:p>
    <w:p>
      <w:pPr>
        <w:pStyle w:val="TextBody"/>
        <w:bidi w:val="0"/>
        <w:spacing w:before="0" w:after="0"/>
        <w:ind w:left="0" w:right="0" w:hanging="0"/>
        <w:jc w:val="left"/>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6.</w:t>
            </w:r>
          </w:p>
        </w:tc>
        <w:tc>
          <w:tcPr>
            <w:tcW w:w="9755" w:type="dxa"/>
            <w:tcBorders/>
            <w:vAlign w:val="center"/>
          </w:tcPr>
          <w:p>
            <w:pPr>
              <w:pStyle w:val="TableContents"/>
              <w:bidi w:val="0"/>
              <w:spacing w:before="0" w:after="283"/>
              <w:jc w:val="left"/>
              <w:rPr>
                <w:sz w:val="20"/>
              </w:rPr>
            </w:pPr>
            <w:r>
              <w:rPr>
                <w:sz w:val="20"/>
              </w:rPr>
              <w:t>The change of the English name of the Company from “JinkoSolar Holding Co., Ltd.” to “Jinko Holdings Limited”; and</w:t>
            </w:r>
          </w:p>
        </w:tc>
      </w:tr>
    </w:tbl>
    <w:p>
      <w:pPr>
        <w:pStyle w:val="TextBody"/>
        <w:bidi w:val="0"/>
        <w:spacing w:before="0" w:after="0"/>
        <w:ind w:left="0" w:right="0" w:hanging="0"/>
        <w:jc w:val="left"/>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6545" w:type="dxa"/>
            <w:tcBorders/>
            <w:vAlign w:val="center"/>
          </w:tcPr>
          <w:p>
            <w:pPr>
              <w:pStyle w:val="TableContents"/>
              <w:bidi w:val="0"/>
              <w:spacing w:before="0" w:after="283"/>
              <w:jc w:val="left"/>
              <w:rPr/>
            </w:pPr>
            <w:r>
              <w:rPr>
                <w:sz w:val="20"/>
              </w:rPr>
              <w:t>The adoption of “</w:t>
            </w:r>
            <w:r>
              <w:rPr>
                <w:sz w:val="20"/>
              </w:rPr>
              <w:t xml:space="preserve">晶科控股有限公司” </w:t>
            </w:r>
            <w:r>
              <w:rPr>
                <w:sz w:val="20"/>
              </w:rPr>
              <w:t>as the dual foreign name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JinkoSolar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(NYSE: JKS) is a holding company combining clean energy industrial operations and strategic investment in emerging technologies. Its industrial foundation is a controlling interest in Jinko Solar Co., Ltd. (SSE: 688223), a global leader in clean energy technology. The Company makes disciplined strategic investments in renewable energy, advanced materials, artificial intelligence, commercial space and other frontier technologies, drawing on its industrial experience and its ability to identify emerging technologies and bring them to commercial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Jinko Solar Co., Ltd., the Company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has over 10 production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Holding Co., Ltd.</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0861</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christian.arnell@christensencomms.com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jinko@christensencomms.com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633</Words>
  <Characters>3599</Characters>
  <CharactersWithSpaces>4247</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